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06F71977" w14:textId="09DF1C96" w:rsidR="003242D7" w:rsidRDefault="008C5E4F" w:rsidP="008C5E4F">
      <w:pPr>
        <w:spacing w:after="0" w:line="240" w:lineRule="auto"/>
        <w:ind w:left="426"/>
        <w:jc w:val="center"/>
        <w:rPr>
          <w:rFonts w:ascii="Cambria" w:hAnsi="Cambria"/>
        </w:rPr>
      </w:pPr>
      <w:r>
        <w:rPr>
          <w:rFonts w:ascii="Cambria" w:hAnsi="Cambria"/>
          <w:b/>
          <w:sz w:val="32"/>
        </w:rPr>
        <w:t xml:space="preserve">Objednávka </w:t>
      </w:r>
      <w:r w:rsidRPr="008C5E4F">
        <w:rPr>
          <w:rFonts w:ascii="Cambria" w:hAnsi="Cambria"/>
          <w:b/>
          <w:sz w:val="32"/>
        </w:rPr>
        <w:t>produktu ProCzeFor jako předmětu poskytování služby digitálního obsahu</w:t>
      </w:r>
    </w:p>
    <w:p w14:paraId="09995DEC" w14:textId="77777777" w:rsidR="003242D7" w:rsidRDefault="003242D7" w:rsidP="003242D7">
      <w:pPr>
        <w:spacing w:after="0" w:line="240" w:lineRule="auto"/>
        <w:ind w:left="6372" w:hanging="6230"/>
        <w:rPr>
          <w:rFonts w:ascii="Cambria" w:hAnsi="Cambria"/>
        </w:rPr>
      </w:pPr>
    </w:p>
    <w:p w14:paraId="0F9C320D" w14:textId="77777777" w:rsidR="00513E0A" w:rsidRDefault="00513E0A" w:rsidP="003242D7">
      <w:pPr>
        <w:spacing w:after="0" w:line="240" w:lineRule="auto"/>
        <w:ind w:left="6372" w:hanging="6230"/>
        <w:rPr>
          <w:rFonts w:ascii="Cambria" w:hAnsi="Cambria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660"/>
      </w:tblGrid>
      <w:tr w:rsidR="00513E0A" w14:paraId="6083C455" w14:textId="77777777" w:rsidTr="00513E0A">
        <w:tc>
          <w:tcPr>
            <w:tcW w:w="5528" w:type="dxa"/>
          </w:tcPr>
          <w:p w14:paraId="1C824B0C" w14:textId="77777777" w:rsidR="00513E0A" w:rsidRPr="00513E0A" w:rsidRDefault="00513E0A" w:rsidP="00513E0A">
            <w:pPr>
              <w:ind w:left="6372" w:hanging="6230"/>
              <w:rPr>
                <w:rFonts w:ascii="Cambria" w:hAnsi="Cambria"/>
                <w:b/>
                <w:bCs/>
              </w:rPr>
            </w:pPr>
            <w:r w:rsidRPr="00513E0A">
              <w:rPr>
                <w:rFonts w:ascii="Cambria" w:hAnsi="Cambria"/>
                <w:b/>
                <w:bCs/>
              </w:rPr>
              <w:t>Poskytovatel:</w:t>
            </w:r>
          </w:p>
          <w:p w14:paraId="4D85CBF2" w14:textId="77777777" w:rsidR="00513E0A" w:rsidRPr="00BC22DA" w:rsidRDefault="00513E0A" w:rsidP="00513E0A">
            <w:pPr>
              <w:ind w:left="1416" w:hanging="1274"/>
              <w:jc w:val="both"/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Univerzita Karlova, Filozofická fakulta</w:t>
            </w:r>
          </w:p>
          <w:p w14:paraId="20EDF2C9" w14:textId="77777777" w:rsidR="00513E0A" w:rsidRPr="00BC22DA" w:rsidRDefault="00513E0A" w:rsidP="00513E0A">
            <w:pPr>
              <w:ind w:left="6372" w:hanging="6230"/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nám. Jana Palacha 1/2, 116 38 Praha 1</w:t>
            </w:r>
          </w:p>
          <w:p w14:paraId="6387C3C3" w14:textId="77777777" w:rsidR="00513E0A" w:rsidRPr="00BC22DA" w:rsidRDefault="00513E0A" w:rsidP="00513E0A">
            <w:pPr>
              <w:ind w:left="6372" w:hanging="6230"/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IČO: 00216208</w:t>
            </w:r>
          </w:p>
          <w:p w14:paraId="6A6DF943" w14:textId="77777777" w:rsidR="00513E0A" w:rsidRDefault="00513E0A" w:rsidP="00513E0A">
            <w:pPr>
              <w:ind w:left="6372" w:hanging="6230"/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DIČ: CZ00216208</w:t>
            </w:r>
          </w:p>
          <w:p w14:paraId="5BEEA302" w14:textId="77777777" w:rsidR="00513E0A" w:rsidRDefault="00513E0A" w:rsidP="00513E0A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E7FEA13" w14:textId="77777777" w:rsidR="00513E0A" w:rsidRPr="00513E0A" w:rsidRDefault="00513E0A" w:rsidP="00513E0A">
            <w:pPr>
              <w:ind w:left="6372" w:hanging="6230"/>
              <w:rPr>
                <w:rFonts w:ascii="Cambria" w:hAnsi="Cambria"/>
                <w:b/>
                <w:bCs/>
              </w:rPr>
            </w:pPr>
            <w:r w:rsidRPr="00513E0A">
              <w:rPr>
                <w:rFonts w:ascii="Cambria" w:hAnsi="Cambria"/>
                <w:b/>
                <w:bCs/>
              </w:rPr>
              <w:t>Kontaktní osoba poskytovatele:</w:t>
            </w:r>
          </w:p>
          <w:p w14:paraId="2C43ACA7" w14:textId="77777777" w:rsidR="00513E0A" w:rsidRDefault="00513E0A" w:rsidP="00513E0A">
            <w:pPr>
              <w:ind w:left="6372" w:hanging="62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PhDr. Jitka Veroňková, Ph.D.</w:t>
            </w:r>
          </w:p>
          <w:p w14:paraId="3B433CAA" w14:textId="77777777" w:rsidR="00513E0A" w:rsidRDefault="00513E0A" w:rsidP="00513E0A">
            <w:pPr>
              <w:ind w:left="6372" w:hanging="6230"/>
              <w:rPr>
                <w:rFonts w:ascii="Cambria" w:hAnsi="Cambria"/>
              </w:rPr>
            </w:pPr>
            <w:hyperlink r:id="rId11" w:history="1">
              <w:r w:rsidRPr="00336E7B">
                <w:rPr>
                  <w:rStyle w:val="Hypertextovodkaz"/>
                  <w:rFonts w:ascii="Cambria" w:hAnsi="Cambria"/>
                </w:rPr>
                <w:t>proczefor@ff.cuni.cz</w:t>
              </w:r>
            </w:hyperlink>
          </w:p>
          <w:p w14:paraId="1D7B0FDD" w14:textId="77777777" w:rsidR="00513E0A" w:rsidRDefault="00513E0A" w:rsidP="00513E0A">
            <w:pPr>
              <w:ind w:left="6372" w:hanging="62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tel. +420 221 619 260 (sekretariát)</w:t>
            </w:r>
          </w:p>
          <w:p w14:paraId="6CF079F6" w14:textId="77777777" w:rsidR="00513E0A" w:rsidRDefault="00513E0A" w:rsidP="003242D7">
            <w:pPr>
              <w:rPr>
                <w:rFonts w:ascii="Cambria" w:hAnsi="Cambria"/>
              </w:rPr>
            </w:pPr>
          </w:p>
        </w:tc>
      </w:tr>
    </w:tbl>
    <w:p w14:paraId="7B5054F0" w14:textId="77777777" w:rsidR="00513E0A" w:rsidRDefault="00513E0A" w:rsidP="003242D7">
      <w:pPr>
        <w:spacing w:after="0" w:line="240" w:lineRule="auto"/>
        <w:ind w:left="6372" w:hanging="6230"/>
        <w:rPr>
          <w:rFonts w:ascii="Cambria" w:hAnsi="Cambria"/>
        </w:rPr>
      </w:pP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08285849" w:rsidR="00916235" w:rsidRDefault="003242D7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Objednatel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6453AC5B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289" w:type="dxa"/>
            <w:shd w:val="clear" w:color="auto" w:fill="auto"/>
          </w:tcPr>
          <w:p w14:paraId="459055DC" w14:textId="77777777" w:rsidR="00F45FA2" w:rsidRPr="00916235" w:rsidRDefault="00F45FA2" w:rsidP="00753F84">
            <w:pPr>
              <w:rPr>
                <w:rFonts w:ascii="Cambria" w:hAnsi="Cambria"/>
              </w:rPr>
            </w:pPr>
          </w:p>
        </w:tc>
      </w:tr>
      <w:tr w:rsidR="00F45FA2" w:rsidRPr="00285AF6" w14:paraId="459055E3" w14:textId="77777777" w:rsidTr="008A1F08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FFF2CC" w:themeFill="accent4" w:themeFillTint="33"/>
          </w:tcPr>
          <w:p w14:paraId="459055DF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90805DB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3289" w:type="dxa"/>
            <w:shd w:val="clear" w:color="auto" w:fill="auto"/>
          </w:tcPr>
          <w:p w14:paraId="459055E2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285AF6" w14:paraId="4E1799A0" w14:textId="77777777" w:rsidTr="008A1F08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FFF2CC" w:themeFill="accent4" w:themeFillTint="33"/>
          </w:tcPr>
          <w:p w14:paraId="4A66142E" w14:textId="77777777" w:rsidR="00C202E8" w:rsidRPr="00285AF6" w:rsidRDefault="00C202E8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43D5AADA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289" w:type="dxa"/>
            <w:shd w:val="clear" w:color="auto" w:fill="auto"/>
          </w:tcPr>
          <w:p w14:paraId="014BA578" w14:textId="77777777" w:rsidR="00C202E8" w:rsidRPr="00285AF6" w:rsidRDefault="00C202E8" w:rsidP="00753F84">
            <w:pPr>
              <w:rPr>
                <w:rFonts w:ascii="Cambria" w:hAnsi="Cambria"/>
              </w:rPr>
            </w:pPr>
          </w:p>
        </w:tc>
      </w:tr>
      <w:tr w:rsidR="00753F84" w:rsidRPr="00285AF6" w14:paraId="459055E8" w14:textId="77777777" w:rsidTr="008A1F08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FFF2CC" w:themeFill="accent4" w:themeFillTint="33"/>
          </w:tcPr>
          <w:p w14:paraId="459055E5" w14:textId="77777777" w:rsidR="00F45FA2" w:rsidRPr="00285AF6" w:rsidRDefault="00F45FA2" w:rsidP="00BC22DA">
            <w:pPr>
              <w:rPr>
                <w:rFonts w:ascii="Cambria" w:hAnsi="Cambria"/>
                <w:b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56181208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(pro zaslání faktury</w:t>
            </w:r>
            <w:r w:rsidR="008C5E4F">
              <w:rPr>
                <w:rFonts w:ascii="Cambria" w:hAnsi="Cambria"/>
                <w:b/>
                <w:sz w:val="18"/>
                <w:szCs w:val="18"/>
              </w:rPr>
              <w:t xml:space="preserve"> a</w:t>
            </w:r>
            <w:r w:rsidR="00513E0A">
              <w:rPr>
                <w:rFonts w:ascii="Cambria" w:hAnsi="Cambria"/>
                <w:b/>
                <w:sz w:val="18"/>
                <w:szCs w:val="18"/>
              </w:rPr>
              <w:t> </w:t>
            </w:r>
            <w:r w:rsidR="008C5E4F">
              <w:rPr>
                <w:rFonts w:ascii="Cambria" w:hAnsi="Cambria"/>
                <w:b/>
                <w:sz w:val="18"/>
                <w:szCs w:val="18"/>
              </w:rPr>
              <w:t>licenčních kódů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):</w:t>
            </w:r>
          </w:p>
        </w:tc>
      </w:tr>
      <w:tr w:rsidR="00F45FA2" w:rsidRPr="00285AF6" w14:paraId="459055EE" w14:textId="77777777" w:rsidTr="008A1F08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FFF2CC" w:themeFill="accent4" w:themeFillTint="33"/>
          </w:tcPr>
          <w:p w14:paraId="459055EA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FFF2CC" w:themeFill="accent4" w:themeFillTint="33"/>
          </w:tcPr>
          <w:p w14:paraId="459055ED" w14:textId="159C21C2" w:rsidR="00F45FA2" w:rsidRPr="00285AF6" w:rsidRDefault="00F45FA2" w:rsidP="00753F84">
            <w:pPr>
              <w:rPr>
                <w:rFonts w:ascii="Cambria" w:hAnsi="Cambria"/>
              </w:rPr>
            </w:pPr>
          </w:p>
        </w:tc>
      </w:tr>
      <w:tr w:rsidR="00C202E8" w:rsidRPr="00285AF6" w14:paraId="459055F4" w14:textId="77777777" w:rsidTr="008A1F08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FFF2CC" w:themeFill="accent4" w:themeFillTint="33"/>
          </w:tcPr>
          <w:p w14:paraId="459055F0" w14:textId="412726C9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>ANO / NE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FFF2CC" w:themeFill="accent4" w:themeFillTint="33"/>
          </w:tcPr>
          <w:p w14:paraId="459055F3" w14:textId="21C7CF3E" w:rsidR="00C202E8" w:rsidRPr="00285AF6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285AF6" w14:paraId="459055FB" w14:textId="77777777" w:rsidTr="008A1F08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FFF2CC" w:themeFill="accent4" w:themeFillTint="33"/>
          </w:tcPr>
          <w:p w14:paraId="459055F7" w14:textId="72A706B1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FFF2CC" w:themeFill="accent4" w:themeFillTint="33"/>
          </w:tcPr>
          <w:p w14:paraId="459055FA" w14:textId="0966471B" w:rsidR="00C202E8" w:rsidRPr="00285AF6" w:rsidRDefault="00C202E8" w:rsidP="00C202E8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1CE4E949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Předmět plnění</w:t>
            </w:r>
            <w:r w:rsidR="006D2144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45905603" w14:textId="600307AE" w:rsidR="001563A1" w:rsidRPr="00916235" w:rsidRDefault="006D2144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Licencovaný přístup do online aplikace ProCzeFor</w:t>
            </w:r>
          </w:p>
        </w:tc>
      </w:tr>
      <w:tr w:rsidR="006D2144" w:rsidRPr="00285AF6" w14:paraId="7966C987" w14:textId="77777777" w:rsidTr="008A1F08">
        <w:tc>
          <w:tcPr>
            <w:tcW w:w="2722" w:type="dxa"/>
            <w:shd w:val="clear" w:color="auto" w:fill="D9D9D9" w:themeFill="background1" w:themeFillShade="D9"/>
          </w:tcPr>
          <w:p w14:paraId="70E1D0CC" w14:textId="0E4FA9FC" w:rsidR="006D2144" w:rsidRPr="00285AF6" w:rsidRDefault="006D2144" w:rsidP="00D721C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Počet licencí a jejich rozsah (trvání):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221421F0" w14:textId="77777777" w:rsidR="006D2144" w:rsidRDefault="006D2144" w:rsidP="00150BED">
            <w:pPr>
              <w:rPr>
                <w:rFonts w:ascii="Cambria" w:hAnsi="Cambria"/>
              </w:rPr>
            </w:pPr>
          </w:p>
        </w:tc>
      </w:tr>
      <w:tr w:rsidR="001563A1" w:rsidRPr="00285AF6" w14:paraId="45905607" w14:textId="77777777" w:rsidTr="008A1F08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45905606" w14:textId="4B620B9E" w:rsidR="001563A1" w:rsidRPr="00916235" w:rsidRDefault="001563A1" w:rsidP="00D721CC">
            <w:pPr>
              <w:rPr>
                <w:rFonts w:ascii="Cambria" w:hAnsi="Cambria"/>
              </w:rPr>
            </w:pPr>
          </w:p>
        </w:tc>
      </w:tr>
      <w:tr w:rsidR="008D7E71" w:rsidRPr="00285AF6" w14:paraId="5CCD6FCE" w14:textId="77777777" w:rsidTr="008A1F08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7122BD84" w14:textId="77777777" w:rsidR="008D7E71" w:rsidRPr="00916235" w:rsidRDefault="008D7E71" w:rsidP="00D721CC">
            <w:pPr>
              <w:rPr>
                <w:rFonts w:ascii="Cambria" w:hAnsi="Cambria"/>
              </w:rPr>
            </w:pP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7E9B0F33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Termín dodání</w:t>
            </w:r>
            <w:r w:rsidR="006D2144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45905609" w14:textId="7BF3E69F" w:rsidR="001563A1" w:rsidRPr="00916235" w:rsidRDefault="0089545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="006D2144">
              <w:rPr>
                <w:rFonts w:ascii="Cambria" w:hAnsi="Cambria"/>
              </w:rPr>
              <w:t>o</w:t>
            </w:r>
            <w:r w:rsidR="008A1F08">
              <w:rPr>
                <w:rFonts w:ascii="Cambria" w:hAnsi="Cambria"/>
              </w:rPr>
              <w:t xml:space="preserve"> 5 (pěti)</w:t>
            </w:r>
            <w:r w:rsidR="006D2144">
              <w:rPr>
                <w:rFonts w:ascii="Cambria" w:hAnsi="Cambria"/>
              </w:rPr>
              <w:t xml:space="preserve"> pracovních dnů</w:t>
            </w:r>
            <w:r w:rsidR="008A1F08">
              <w:rPr>
                <w:rFonts w:ascii="Cambria" w:hAnsi="Cambria"/>
              </w:rPr>
              <w:t xml:space="preserve"> po připsání platby na účet poskytovatele.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273C1828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</w:t>
            </w:r>
            <w:r w:rsidR="008A1F08">
              <w:rPr>
                <w:rFonts w:ascii="Cambria" w:hAnsi="Cambria"/>
                <w:b/>
              </w:rPr>
              <w:t xml:space="preserve"> a místo</w:t>
            </w:r>
            <w:r w:rsidRPr="00285AF6">
              <w:rPr>
                <w:rFonts w:ascii="Cambria" w:hAnsi="Cambria"/>
                <w:b/>
              </w:rPr>
              <w:t xml:space="preserve">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AED412A" w:rsidR="001563A1" w:rsidRPr="00916235" w:rsidRDefault="00895450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  <w:r w:rsidR="006D2144">
              <w:rPr>
                <w:rFonts w:ascii="Cambria" w:hAnsi="Cambria"/>
              </w:rPr>
              <w:t>lektronicky</w:t>
            </w:r>
            <w:r w:rsidR="008A1F08">
              <w:rPr>
                <w:rFonts w:ascii="Cambria" w:hAnsi="Cambria"/>
              </w:rPr>
              <w:t xml:space="preserve"> na e-mail výše uvedené kontaktní osoby.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4963A126" w:rsidR="001563A1" w:rsidRPr="00916235" w:rsidRDefault="008A1F0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1563A1" w:rsidRPr="00916235">
              <w:rPr>
                <w:rFonts w:ascii="Cambria" w:hAnsi="Cambria"/>
              </w:rPr>
              <w:t xml:space="preserve"> dní od prokazatelného doručení objednateli</w:t>
            </w:r>
            <w:r w:rsidR="00895450">
              <w:rPr>
                <w:rFonts w:ascii="Cambria" w:hAnsi="Cambria"/>
              </w:rPr>
              <w:t>.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2AE9D4E8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 xml:space="preserve">bankovním převodem na účet </w:t>
            </w:r>
            <w:r w:rsidR="008A1F08">
              <w:rPr>
                <w:rFonts w:ascii="Cambria" w:hAnsi="Cambria"/>
              </w:rPr>
              <w:t>poskytovatele</w:t>
            </w:r>
            <w:r w:rsidRPr="00916235">
              <w:rPr>
                <w:rFonts w:ascii="Cambria" w:hAnsi="Cambria"/>
              </w:rPr>
              <w:t xml:space="preserve">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  <w:r w:rsidR="00895450">
              <w:rPr>
                <w:rFonts w:ascii="Cambria" w:hAnsi="Cambria"/>
              </w:rPr>
              <w:t>.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0B3528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089D0E02" w14:textId="7AD4B601" w:rsidR="00B45265" w:rsidRPr="00BC22DA" w:rsidRDefault="00B45265" w:rsidP="00513E0A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Zástupci objednavatele a </w:t>
      </w:r>
      <w:r>
        <w:rPr>
          <w:rFonts w:ascii="Cambria" w:hAnsi="Cambria"/>
          <w:sz w:val="18"/>
          <w:szCs w:val="18"/>
        </w:rPr>
        <w:t>poskytova</w:t>
      </w:r>
      <w:r w:rsidRPr="00BC22DA">
        <w:rPr>
          <w:rFonts w:ascii="Cambria" w:hAnsi="Cambria"/>
          <w:sz w:val="18"/>
          <w:szCs w:val="18"/>
        </w:rPr>
        <w:t>tele prohlašují, že mají oprávnění k zastupování smluvní strany v rámci tohoto smluvního vztahu.</w:t>
      </w:r>
    </w:p>
    <w:p w14:paraId="2112B6E3" w14:textId="33BB034C" w:rsidR="00B45265" w:rsidRDefault="00B45265" w:rsidP="00B4526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</w:t>
      </w:r>
      <w:r>
        <w:rPr>
          <w:rFonts w:ascii="Cambria" w:hAnsi="Cambria"/>
          <w:sz w:val="18"/>
          <w:szCs w:val="18"/>
        </w:rPr>
        <w:t xml:space="preserve">prokazatelném </w:t>
      </w:r>
      <w:r w:rsidRPr="00BC22DA">
        <w:rPr>
          <w:rFonts w:ascii="Cambria" w:hAnsi="Cambria"/>
          <w:sz w:val="18"/>
          <w:szCs w:val="18"/>
        </w:rPr>
        <w:t>potvrzení oběma smluvními stranami</w:t>
      </w:r>
      <w:r>
        <w:rPr>
          <w:rFonts w:ascii="Cambria" w:hAnsi="Cambria"/>
          <w:sz w:val="18"/>
          <w:szCs w:val="18"/>
        </w:rPr>
        <w:t>.</w:t>
      </w:r>
    </w:p>
    <w:p w14:paraId="44FBA301" w14:textId="71CECA3B" w:rsidR="00B6440D" w:rsidRPr="00BC22DA" w:rsidRDefault="00B6440D" w:rsidP="00513E0A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V případě prodlení </w:t>
      </w:r>
      <w:r>
        <w:rPr>
          <w:rFonts w:ascii="Cambria" w:hAnsi="Cambria"/>
          <w:bCs/>
          <w:sz w:val="18"/>
          <w:szCs w:val="18"/>
        </w:rPr>
        <w:t>poskytova</w:t>
      </w:r>
      <w:r w:rsidRPr="00BC22DA">
        <w:rPr>
          <w:rFonts w:ascii="Cambria" w:hAnsi="Cambria"/>
          <w:bCs/>
          <w:sz w:val="18"/>
          <w:szCs w:val="18"/>
        </w:rPr>
        <w:t>tele s dodáním objednaného plnění má objednatel právo bez dalšího odstoupit od této objednávky.</w:t>
      </w:r>
    </w:p>
    <w:p w14:paraId="390CA21F" w14:textId="74ECAF7E" w:rsidR="00655500" w:rsidRPr="006B7F9B" w:rsidRDefault="00655500" w:rsidP="00CE14D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mbria" w:hAnsi="Cambria"/>
          <w:bCs/>
          <w:sz w:val="18"/>
          <w:szCs w:val="18"/>
          <w:lang w:eastAsia="en-US" w:bidi="he-IL"/>
        </w:rPr>
      </w:pPr>
      <w:r w:rsidRPr="00655500">
        <w:rPr>
          <w:rFonts w:ascii="Cambria" w:hAnsi="Cambria"/>
          <w:bCs/>
          <w:sz w:val="18"/>
          <w:szCs w:val="18"/>
          <w:lang w:eastAsia="en-US" w:bidi="he-IL"/>
        </w:rPr>
        <w:t>Objednatel je oprávněn k nevýlučnému, územně neomezenému, nepřevoditelnému výkonu práva užívat zakoupený elektronický obsah, a to výlučně pro vzdělávací účely a pouze po dobu a v rozsahu vyplývajícími z obsahu a účelu elektronického obsahu, tzn. zejména právo používat, zobrazovat a spouštět zakoupený elektronický obsah. Nestanoví-li platná právní úprava jinak, objednatel zejména není oprávněn</w:t>
      </w:r>
      <w:r w:rsidR="006B7F9B">
        <w:rPr>
          <w:rFonts w:ascii="Cambria" w:hAnsi="Cambria"/>
          <w:bCs/>
          <w:sz w:val="18"/>
          <w:szCs w:val="18"/>
          <w:lang w:eastAsia="en-US" w:bidi="he-IL"/>
        </w:rPr>
        <w:t xml:space="preserve"> </w:t>
      </w:r>
      <w:r w:rsidRPr="00655500">
        <w:rPr>
          <w:rFonts w:ascii="Cambria" w:hAnsi="Cambria"/>
          <w:bCs/>
          <w:sz w:val="18"/>
          <w:szCs w:val="18"/>
          <w:lang w:eastAsia="en-US" w:bidi="he-IL"/>
        </w:rPr>
        <w:t>zakoupený elektronický obsah rozmnožovat vyjma pro vlastní vzdělávací účely, překládat, zpracovávat, upravovat či jinak měnit, rozšiřovat, půjčovat, pronajímat, vystavovat nebo ho sdělovat veřejnosti, jakož i obcházet technické prostředky ochrany práv nebo provádět reverzní inženýring zakoupený elektronický obsah.</w:t>
      </w:r>
    </w:p>
    <w:p w14:paraId="4590561F" w14:textId="49F4B792" w:rsidR="00482821" w:rsidRPr="00BC22DA" w:rsidRDefault="006B7F9B" w:rsidP="00CE14DD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Objednatel</w:t>
      </w:r>
      <w:r w:rsidR="00482821" w:rsidRPr="00BC22DA">
        <w:rPr>
          <w:rFonts w:ascii="Cambria" w:hAnsi="Cambria"/>
          <w:sz w:val="18"/>
          <w:szCs w:val="18"/>
        </w:rPr>
        <w:t xml:space="preserve"> bere na vědomí, že </w:t>
      </w:r>
      <w:r>
        <w:rPr>
          <w:rFonts w:ascii="Cambria" w:hAnsi="Cambria"/>
          <w:sz w:val="18"/>
          <w:szCs w:val="18"/>
        </w:rPr>
        <w:t>poskytovatel</w:t>
      </w:r>
      <w:r w:rsidR="00482821" w:rsidRPr="00BC22DA">
        <w:rPr>
          <w:rFonts w:ascii="Cambria" w:hAnsi="Cambria"/>
          <w:sz w:val="18"/>
          <w:szCs w:val="18"/>
        </w:rPr>
        <w:t xml:space="preserve">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="00482821"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="00482821"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="00482821"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="00482821" w:rsidRPr="00BC22DA">
        <w:rPr>
          <w:rFonts w:ascii="Cambria" w:hAnsi="Cambria"/>
          <w:sz w:val="18"/>
          <w:szCs w:val="18"/>
        </w:rPr>
        <w:t xml:space="preserve">340/2015 </w:t>
      </w:r>
      <w:r w:rsidR="00482821" w:rsidRPr="00BC22DA">
        <w:rPr>
          <w:rFonts w:ascii="Cambria" w:hAnsi="Cambria"/>
          <w:sz w:val="18"/>
          <w:szCs w:val="18"/>
        </w:rPr>
        <w:t>Sb.</w:t>
      </w:r>
      <w:r w:rsidR="00645C24" w:rsidRPr="00BC22DA">
        <w:rPr>
          <w:rFonts w:ascii="Cambria" w:hAnsi="Cambria"/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="00482821" w:rsidRPr="00BC22DA">
        <w:rPr>
          <w:rFonts w:ascii="Cambria" w:hAnsi="Cambria"/>
          <w:sz w:val="18"/>
          <w:szCs w:val="18"/>
        </w:rPr>
        <w:t xml:space="preserve">. </w:t>
      </w:r>
      <w:r w:rsidR="00CE14DD">
        <w:rPr>
          <w:rFonts w:ascii="Cambria" w:hAnsi="Cambria"/>
          <w:sz w:val="18"/>
          <w:szCs w:val="18"/>
        </w:rPr>
        <w:t>Objedna</w:t>
      </w:r>
      <w:r w:rsidR="00482821" w:rsidRPr="00BC22DA">
        <w:rPr>
          <w:rFonts w:ascii="Cambria" w:hAnsi="Cambria"/>
          <w:sz w:val="18"/>
          <w:szCs w:val="18"/>
        </w:rPr>
        <w:t>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="00482821"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</w:t>
      </w:r>
      <w:r>
        <w:rPr>
          <w:rFonts w:ascii="Cambria" w:hAnsi="Cambria"/>
          <w:bCs/>
          <w:iCs/>
          <w:sz w:val="18"/>
          <w:szCs w:val="18"/>
        </w:rPr>
        <w:t> 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neoprávněnému zásahu do práv a povinností </w:t>
      </w:r>
      <w:r w:rsidR="00CE14DD">
        <w:rPr>
          <w:rFonts w:ascii="Cambria" w:hAnsi="Cambria"/>
          <w:bCs/>
          <w:iCs/>
          <w:sz w:val="18"/>
          <w:szCs w:val="18"/>
        </w:rPr>
        <w:t>objedna</w:t>
      </w:r>
      <w:r w:rsidR="00084B38" w:rsidRPr="00BC22DA">
        <w:rPr>
          <w:rFonts w:ascii="Cambria" w:hAnsi="Cambria"/>
          <w:bCs/>
          <w:iCs/>
          <w:sz w:val="18"/>
          <w:szCs w:val="18"/>
        </w:rPr>
        <w:t>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</w:t>
      </w:r>
      <w:r w:rsidR="00CE14DD">
        <w:rPr>
          <w:rFonts w:ascii="Cambria" w:hAnsi="Cambria"/>
          <w:bCs/>
          <w:iCs/>
          <w:sz w:val="18"/>
          <w:szCs w:val="18"/>
        </w:rPr>
        <w:t>objedna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vatele, jeho zástupců či zaměstnanců, odpovídá </w:t>
      </w:r>
      <w:r w:rsidR="00CE14DD">
        <w:rPr>
          <w:rFonts w:ascii="Cambria" w:hAnsi="Cambria"/>
          <w:bCs/>
          <w:iCs/>
          <w:sz w:val="18"/>
          <w:szCs w:val="18"/>
        </w:rPr>
        <w:t>objedn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="00482821"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="00482821" w:rsidRPr="00BC22DA">
        <w:rPr>
          <w:rFonts w:ascii="Cambria" w:hAnsi="Cambria"/>
          <w:sz w:val="18"/>
          <w:szCs w:val="18"/>
        </w:rPr>
        <w:t xml:space="preserve">veřejnění bude </w:t>
      </w:r>
      <w:r w:rsidR="00CE14DD">
        <w:rPr>
          <w:rFonts w:ascii="Cambria" w:hAnsi="Cambria"/>
          <w:sz w:val="18"/>
          <w:szCs w:val="18"/>
        </w:rPr>
        <w:t>objedn</w:t>
      </w:r>
      <w:r w:rsidR="00482821" w:rsidRPr="00BC22DA">
        <w:rPr>
          <w:rFonts w:ascii="Cambria" w:hAnsi="Cambria"/>
          <w:sz w:val="18"/>
          <w:szCs w:val="18"/>
        </w:rPr>
        <w:t>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="00482821"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="00482821"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="00482821"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CE14DD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A565D29" w14:textId="4C93E45B" w:rsidR="008D7E71" w:rsidRPr="00BC22DA" w:rsidRDefault="006B7F9B" w:rsidP="00CE14DD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/>
          <w:bCs/>
          <w:sz w:val="18"/>
          <w:szCs w:val="18"/>
        </w:rPr>
        <w:sectPr w:rsidR="008D7E71" w:rsidRPr="00BC22DA" w:rsidSect="000B3528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655500">
        <w:rPr>
          <w:rFonts w:ascii="Cambria" w:hAnsi="Cambria"/>
          <w:bCs/>
          <w:sz w:val="18"/>
          <w:szCs w:val="18"/>
        </w:rPr>
        <w:t>Licenční odměna je zahrnuta v</w:t>
      </w:r>
      <w:r>
        <w:rPr>
          <w:rFonts w:ascii="Cambria" w:hAnsi="Cambria"/>
          <w:bCs/>
          <w:sz w:val="18"/>
          <w:szCs w:val="18"/>
        </w:rPr>
        <w:t> </w:t>
      </w:r>
      <w:r w:rsidRPr="00655500">
        <w:rPr>
          <w:rFonts w:ascii="Cambria" w:hAnsi="Cambria"/>
          <w:bCs/>
          <w:sz w:val="18"/>
          <w:szCs w:val="18"/>
        </w:rPr>
        <w:t>ceně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655500">
        <w:rPr>
          <w:rFonts w:ascii="Cambria" w:hAnsi="Cambria"/>
          <w:bCs/>
          <w:sz w:val="18"/>
          <w:szCs w:val="18"/>
        </w:rPr>
        <w:t>zakoupeného elektronického obsahu.</w:t>
      </w:r>
      <w:r>
        <w:rPr>
          <w:rFonts w:ascii="Cambria" w:hAnsi="Cambria"/>
          <w:bCs/>
          <w:sz w:val="18"/>
          <w:szCs w:val="18"/>
        </w:rPr>
        <w:t xml:space="preserve"> </w:t>
      </w:r>
      <w:r w:rsidR="008D7E71" w:rsidRPr="00BC22DA">
        <w:rPr>
          <w:rFonts w:ascii="Cambria" w:hAnsi="Cambria"/>
          <w:bCs/>
          <w:sz w:val="18"/>
          <w:szCs w:val="18"/>
        </w:rPr>
        <w:t xml:space="preserve">Výše uvedená cena je konečná, obsahuje všechny náklady </w:t>
      </w:r>
      <w:r>
        <w:rPr>
          <w:rFonts w:ascii="Cambria" w:hAnsi="Cambria"/>
          <w:bCs/>
          <w:sz w:val="18"/>
          <w:szCs w:val="18"/>
        </w:rPr>
        <w:t>poskyto</w:t>
      </w:r>
      <w:r w:rsidR="008D7E71" w:rsidRPr="00BC22DA">
        <w:rPr>
          <w:rFonts w:ascii="Cambria" w:hAnsi="Cambria"/>
          <w:bCs/>
          <w:sz w:val="18"/>
          <w:szCs w:val="18"/>
        </w:rPr>
        <w:t>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5578"/>
      </w:tblGrid>
      <w:tr w:rsidR="00D06765" w:rsidRPr="00BC22DA" w14:paraId="4590562E" w14:textId="77777777" w:rsidTr="00D31A5F">
        <w:trPr>
          <w:trHeight w:val="749"/>
        </w:trPr>
        <w:tc>
          <w:tcPr>
            <w:tcW w:w="5416" w:type="dxa"/>
            <w:shd w:val="clear" w:color="auto" w:fill="FFF2CC" w:themeFill="accent4" w:themeFillTint="33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6" w14:textId="365BC0A2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</w:p>
          <w:p w14:paraId="45905628" w14:textId="6A3D3D29" w:rsidR="00D06765" w:rsidRPr="00BC22DA" w:rsidRDefault="00D06765" w:rsidP="617FA26D">
            <w:pPr>
              <w:rPr>
                <w:rFonts w:ascii="Cambria" w:hAnsi="Cambria"/>
              </w:rPr>
            </w:pPr>
          </w:p>
        </w:tc>
        <w:tc>
          <w:tcPr>
            <w:tcW w:w="5578" w:type="dxa"/>
            <w:shd w:val="clear" w:color="auto" w:fill="auto"/>
          </w:tcPr>
          <w:p w14:paraId="4590562D" w14:textId="1350E2B3" w:rsidR="00D06765" w:rsidRPr="00BC22DA" w:rsidRDefault="00D06765" w:rsidP="00CD4599">
            <w:pPr>
              <w:rPr>
                <w:rFonts w:ascii="Cambria" w:hAnsi="Cambria"/>
              </w:rPr>
            </w:pPr>
          </w:p>
        </w:tc>
      </w:tr>
    </w:tbl>
    <w:p w14:paraId="4590562F" w14:textId="77777777" w:rsidR="00122BA8" w:rsidRPr="00BC22DA" w:rsidRDefault="00122BA8" w:rsidP="00CE14DD">
      <w:pPr>
        <w:spacing w:after="0"/>
        <w:rPr>
          <w:rFonts w:ascii="Cambria" w:hAnsi="Cambria"/>
        </w:rPr>
      </w:pPr>
    </w:p>
    <w:sectPr w:rsidR="00122BA8" w:rsidRPr="00BC22DA" w:rsidSect="000B3528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0ECC" w14:textId="77777777" w:rsidR="000B3528" w:rsidRDefault="000B3528" w:rsidP="00BA3595">
      <w:pPr>
        <w:spacing w:after="0" w:line="240" w:lineRule="auto"/>
      </w:pPr>
      <w:r>
        <w:separator/>
      </w:r>
    </w:p>
  </w:endnote>
  <w:endnote w:type="continuationSeparator" w:id="0">
    <w:p w14:paraId="56C82A7B" w14:textId="77777777" w:rsidR="000B3528" w:rsidRDefault="000B3528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8384" w14:textId="77777777" w:rsidR="000B3528" w:rsidRDefault="000B3528" w:rsidP="00BA3595">
      <w:pPr>
        <w:spacing w:after="0" w:line="240" w:lineRule="auto"/>
      </w:pPr>
      <w:r>
        <w:separator/>
      </w:r>
    </w:p>
  </w:footnote>
  <w:footnote w:type="continuationSeparator" w:id="0">
    <w:p w14:paraId="3E8EFB3E" w14:textId="77777777" w:rsidR="000B3528" w:rsidRDefault="000B3528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0B3528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85AF6"/>
    <w:rsid w:val="002C5D98"/>
    <w:rsid w:val="002C6903"/>
    <w:rsid w:val="003242D7"/>
    <w:rsid w:val="00363225"/>
    <w:rsid w:val="003B76AB"/>
    <w:rsid w:val="003C35B6"/>
    <w:rsid w:val="00416535"/>
    <w:rsid w:val="004514A9"/>
    <w:rsid w:val="00482821"/>
    <w:rsid w:val="00492E27"/>
    <w:rsid w:val="004E1656"/>
    <w:rsid w:val="00513E0A"/>
    <w:rsid w:val="00605169"/>
    <w:rsid w:val="00645C24"/>
    <w:rsid w:val="00655500"/>
    <w:rsid w:val="006B7F9B"/>
    <w:rsid w:val="006D2144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95450"/>
    <w:rsid w:val="008A1F08"/>
    <w:rsid w:val="008C5E4F"/>
    <w:rsid w:val="008D425C"/>
    <w:rsid w:val="008D7E71"/>
    <w:rsid w:val="008E10F3"/>
    <w:rsid w:val="008E51D6"/>
    <w:rsid w:val="008F0124"/>
    <w:rsid w:val="00916235"/>
    <w:rsid w:val="00962FE3"/>
    <w:rsid w:val="009D39A0"/>
    <w:rsid w:val="00A310C6"/>
    <w:rsid w:val="00A378AC"/>
    <w:rsid w:val="00AD6641"/>
    <w:rsid w:val="00B03080"/>
    <w:rsid w:val="00B45265"/>
    <w:rsid w:val="00B6440D"/>
    <w:rsid w:val="00BA3595"/>
    <w:rsid w:val="00BA702A"/>
    <w:rsid w:val="00BB21B2"/>
    <w:rsid w:val="00BC22DA"/>
    <w:rsid w:val="00C202E8"/>
    <w:rsid w:val="00C454C3"/>
    <w:rsid w:val="00C9773F"/>
    <w:rsid w:val="00CD4599"/>
    <w:rsid w:val="00CE14DD"/>
    <w:rsid w:val="00D06765"/>
    <w:rsid w:val="00D24B42"/>
    <w:rsid w:val="00D31A5F"/>
    <w:rsid w:val="00D41442"/>
    <w:rsid w:val="00D721CC"/>
    <w:rsid w:val="00D92D30"/>
    <w:rsid w:val="00D950FA"/>
    <w:rsid w:val="00E7458F"/>
    <w:rsid w:val="00E8528A"/>
    <w:rsid w:val="00EE2288"/>
    <w:rsid w:val="00F05440"/>
    <w:rsid w:val="00F11282"/>
    <w:rsid w:val="00F17818"/>
    <w:rsid w:val="00F45FA2"/>
    <w:rsid w:val="00FB0184"/>
    <w:rsid w:val="00FD15D2"/>
    <w:rsid w:val="00FE0907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  <w15:docId w15:val="{C4CD6696-2AB0-4982-9076-49FDB353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unhideWhenUsed/>
    <w:rsid w:val="003242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42D7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655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paragraph" w:styleId="Revize">
    <w:name w:val="Revision"/>
    <w:hidden/>
    <w:uiPriority w:val="99"/>
    <w:semiHidden/>
    <w:rsid w:val="00B45265"/>
    <w:pPr>
      <w:spacing w:after="0" w:line="240" w:lineRule="auto"/>
    </w:pPr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zefor@ff.cun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8" ma:contentTypeDescription="Vytvoří nový dokument" ma:contentTypeScope="" ma:versionID="f0b5af66a64aef60ec707c300320f5d6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f0a230e2e851ee6303c75b31433869b8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1B07926-D24F-4228-8B31-4B1F4BC5C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D3135-B37A-4522-A756-5EA80F948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2024-03-01T05:47:00Z</dcterms:created>
  <dcterms:modified xsi:type="dcterms:W3CDTF">2024-03-01T05:50:00Z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